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1A05" w14:textId="3214472D" w:rsidR="003E6FA8" w:rsidRPr="003E6FA8" w:rsidRDefault="001A69E9" w:rsidP="003E6FA8">
      <w:pPr>
        <w:spacing w:line="360" w:lineRule="auto"/>
        <w:rPr>
          <w:rFonts w:eastAsia="宋体" w:cs="Times New Roman"/>
          <w:color w:val="000000"/>
          <w:szCs w:val="24"/>
        </w:rPr>
      </w:pPr>
      <w:r>
        <w:t>Supplementary Material</w:t>
      </w:r>
      <w:r w:rsidR="003E6FA8" w:rsidRPr="003E6FA8">
        <w:rPr>
          <w:rFonts w:eastAsia="宋体" w:cs="Times New Roman"/>
          <w:color w:val="000000"/>
          <w:szCs w:val="24"/>
        </w:rPr>
        <w:t>: “Satisfaction Survey Distribution and Collection Process”</w:t>
      </w:r>
    </w:p>
    <w:p w14:paraId="1B55DEC7" w14:textId="77777777" w:rsidR="003E6FA8" w:rsidRPr="003E6FA8" w:rsidRDefault="003E6FA8" w:rsidP="003E6FA8">
      <w:pPr>
        <w:spacing w:line="360" w:lineRule="auto"/>
        <w:rPr>
          <w:rFonts w:eastAsia="宋体" w:cs="Times New Roman"/>
          <w:color w:val="000000"/>
          <w:szCs w:val="24"/>
        </w:rPr>
      </w:pPr>
    </w:p>
    <w:p w14:paraId="48502B2C" w14:textId="77777777" w:rsidR="003E6FA8" w:rsidRPr="003E6FA8" w:rsidRDefault="003E6FA8" w:rsidP="003E6FA8">
      <w:pPr>
        <w:spacing w:line="360" w:lineRule="auto"/>
        <w:rPr>
          <w:rFonts w:eastAsia="宋体" w:cs="Times New Roman"/>
          <w:color w:val="000000"/>
          <w:szCs w:val="24"/>
        </w:rPr>
      </w:pPr>
      <w:r w:rsidRPr="003E6FA8">
        <w:rPr>
          <w:rFonts w:eastAsia="宋体" w:cs="Times New Roman"/>
          <w:color w:val="000000"/>
          <w:szCs w:val="24"/>
        </w:rPr>
        <w:t>Standardized Process for Distributing and Collecting the Nursing Satisfaction Survey</w:t>
      </w:r>
    </w:p>
    <w:p w14:paraId="46950E47"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1. Role of Executing Personnel:</w:t>
      </w:r>
    </w:p>
    <w:p w14:paraId="5F5184B8"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Position: Dedicated Research Assistant (not the responsible nurse).</w:t>
      </w:r>
    </w:p>
    <w:p w14:paraId="555D7942"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Qualifications: Completed training and passed an assessment on the research protocol and survey operation standards. Unaware of the research group assignment information (Observation group/Control group). No direct involvement in the patient’s clinical care. Strong communication skills, capable of explaining the survey clearly and neutrally.</w:t>
      </w:r>
    </w:p>
    <w:p w14:paraId="7E01C0D3"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2. Survey Distribution Timing:</w:t>
      </w:r>
    </w:p>
    <w:p w14:paraId="244F556A"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Time: On the day of patient discharge (after all interventions have been completed).</w:t>
      </w:r>
    </w:p>
    <w:p w14:paraId="128C999B"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Exclusion Criteria: Patients with impaired consciousness or who cannot communicate clearly. Critically ill or emotionally unstable patients. Patients who voluntarily refuse to participate.</w:t>
      </w:r>
    </w:p>
    <w:p w14:paraId="36ED7779"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3. Survey Distribution Environment:</w:t>
      </w:r>
    </w:p>
    <w:p w14:paraId="4F0D1E38"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 xml:space="preserve">Location: A private, quiet interview room (not the patient’s ward).  </w:t>
      </w:r>
    </w:p>
    <w:p w14:paraId="454D2C33"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Purpose: To avoid disturbances from the ward environment (such as the presence of medical staff or other patients overhearing). To ensure privacy and a sense of security for the patient when answering.</w:t>
      </w:r>
    </w:p>
    <w:p w14:paraId="3CA582E9" w14:textId="77777777" w:rsidR="003E6FA8" w:rsidRPr="003E6FA8" w:rsidRDefault="003E6FA8" w:rsidP="003E6FA8">
      <w:pPr>
        <w:spacing w:line="360" w:lineRule="auto"/>
        <w:ind w:firstLineChars="200" w:firstLine="480"/>
        <w:rPr>
          <w:rFonts w:eastAsia="宋体" w:cs="Times New Roman"/>
          <w:color w:val="000000"/>
          <w:szCs w:val="24"/>
        </w:rPr>
      </w:pPr>
      <w:r w:rsidRPr="003E6FA8">
        <w:rPr>
          <w:rFonts w:eastAsia="宋体" w:cs="Times New Roman"/>
          <w:color w:val="000000"/>
          <w:szCs w:val="24"/>
        </w:rPr>
        <w:t>4. Standardized Operation Steps:</w:t>
      </w:r>
    </w:p>
    <w:tbl>
      <w:tblPr>
        <w:tblStyle w:val="a3"/>
        <w:tblW w:w="0" w:type="auto"/>
        <w:tblLook w:val="04A0" w:firstRow="1" w:lastRow="0" w:firstColumn="1" w:lastColumn="0" w:noHBand="0" w:noVBand="1"/>
      </w:tblPr>
      <w:tblGrid>
        <w:gridCol w:w="1656"/>
        <w:gridCol w:w="3872"/>
        <w:gridCol w:w="2768"/>
      </w:tblGrid>
      <w:tr w:rsidR="003E6FA8" w:rsidRPr="003E6FA8" w14:paraId="0C3261DE" w14:textId="77777777" w:rsidTr="00E80C2F">
        <w:tc>
          <w:tcPr>
            <w:tcW w:w="1680" w:type="dxa"/>
          </w:tcPr>
          <w:p w14:paraId="293D2ABE" w14:textId="77777777" w:rsidR="003E6FA8" w:rsidRPr="003E6FA8" w:rsidRDefault="003E6FA8" w:rsidP="003E6FA8">
            <w:pPr>
              <w:spacing w:line="360" w:lineRule="auto"/>
              <w:rPr>
                <w:color w:val="000000"/>
                <w:szCs w:val="24"/>
              </w:rPr>
            </w:pPr>
            <w:r w:rsidRPr="003E6FA8">
              <w:rPr>
                <w:color w:val="000000"/>
                <w:szCs w:val="24"/>
              </w:rPr>
              <w:t>Steps</w:t>
            </w:r>
          </w:p>
        </w:tc>
        <w:tc>
          <w:tcPr>
            <w:tcW w:w="4001" w:type="dxa"/>
          </w:tcPr>
          <w:p w14:paraId="2A9D95EA" w14:textId="77777777" w:rsidR="003E6FA8" w:rsidRPr="003E6FA8" w:rsidRDefault="003E6FA8" w:rsidP="003E6FA8">
            <w:pPr>
              <w:spacing w:line="360" w:lineRule="auto"/>
              <w:rPr>
                <w:color w:val="000000"/>
                <w:szCs w:val="24"/>
              </w:rPr>
            </w:pPr>
            <w:r w:rsidRPr="003E6FA8">
              <w:rPr>
                <w:color w:val="000000"/>
                <w:szCs w:val="24"/>
              </w:rPr>
              <w:t>Operational Content</w:t>
            </w:r>
          </w:p>
        </w:tc>
        <w:tc>
          <w:tcPr>
            <w:tcW w:w="2841" w:type="dxa"/>
          </w:tcPr>
          <w:p w14:paraId="7A8CF225" w14:textId="77777777" w:rsidR="003E6FA8" w:rsidRPr="003E6FA8" w:rsidRDefault="003E6FA8" w:rsidP="003E6FA8">
            <w:pPr>
              <w:spacing w:line="360" w:lineRule="auto"/>
              <w:rPr>
                <w:color w:val="000000"/>
                <w:szCs w:val="24"/>
              </w:rPr>
            </w:pPr>
            <w:r w:rsidRPr="003E6FA8">
              <w:rPr>
                <w:color w:val="000000"/>
                <w:szCs w:val="24"/>
              </w:rPr>
              <w:t>Quality Control Points</w:t>
            </w:r>
          </w:p>
        </w:tc>
      </w:tr>
      <w:tr w:rsidR="003E6FA8" w:rsidRPr="003E6FA8" w14:paraId="404D62BB" w14:textId="77777777" w:rsidTr="00E80C2F">
        <w:tc>
          <w:tcPr>
            <w:tcW w:w="1680" w:type="dxa"/>
          </w:tcPr>
          <w:p w14:paraId="03E12ED6" w14:textId="77777777" w:rsidR="003E6FA8" w:rsidRPr="003E6FA8" w:rsidRDefault="003E6FA8" w:rsidP="003E6FA8">
            <w:pPr>
              <w:spacing w:line="360" w:lineRule="auto"/>
              <w:jc w:val="left"/>
              <w:rPr>
                <w:color w:val="000000"/>
                <w:szCs w:val="24"/>
              </w:rPr>
            </w:pPr>
            <w:r w:rsidRPr="003E6FA8">
              <w:rPr>
                <w:rFonts w:ascii="宋体" w:hAnsi="宋体" w:cs="宋体" w:hint="eastAsia"/>
                <w:color w:val="000000"/>
                <w:szCs w:val="24"/>
              </w:rPr>
              <w:t>①</w:t>
            </w:r>
            <w:r w:rsidRPr="003E6FA8">
              <w:rPr>
                <w:color w:val="000000"/>
                <w:szCs w:val="24"/>
              </w:rPr>
              <w:t xml:space="preserve"> Invitation and Informed Consent</w:t>
            </w:r>
          </w:p>
        </w:tc>
        <w:tc>
          <w:tcPr>
            <w:tcW w:w="4001" w:type="dxa"/>
          </w:tcPr>
          <w:p w14:paraId="70CE6928" w14:textId="77777777" w:rsidR="003E6FA8" w:rsidRPr="003E6FA8" w:rsidRDefault="003E6FA8" w:rsidP="003E6FA8">
            <w:pPr>
              <w:spacing w:line="360" w:lineRule="auto"/>
              <w:rPr>
                <w:color w:val="000000"/>
                <w:szCs w:val="24"/>
              </w:rPr>
            </w:pPr>
            <w:r w:rsidRPr="003E6FA8">
              <w:rPr>
                <w:color w:val="000000"/>
                <w:szCs w:val="24"/>
              </w:rPr>
              <w:t xml:space="preserve">1. The research assistant presents a standardized invitation letter (only marked with the research number, no group information) to the patient in the ward. </w:t>
            </w:r>
          </w:p>
          <w:p w14:paraId="39A5242F" w14:textId="77777777" w:rsidR="003E6FA8" w:rsidRPr="003E6FA8" w:rsidRDefault="003E6FA8" w:rsidP="003E6FA8">
            <w:pPr>
              <w:spacing w:line="360" w:lineRule="auto"/>
              <w:rPr>
                <w:color w:val="000000"/>
                <w:szCs w:val="24"/>
              </w:rPr>
            </w:pPr>
            <w:r w:rsidRPr="003E6FA8">
              <w:rPr>
                <w:color w:val="000000"/>
                <w:szCs w:val="24"/>
              </w:rPr>
              <w:t xml:space="preserve">2. Verbal explanation: “Hello, we are conducting an anonymous survey on hospital service improvement. We kindly invite you to </w:t>
            </w:r>
            <w:r w:rsidRPr="003E6FA8">
              <w:rPr>
                <w:color w:val="000000"/>
                <w:szCs w:val="24"/>
              </w:rPr>
              <w:lastRenderedPageBreak/>
              <w:t>take 5 minutes to fill out this satisfaction survey. Your honest feedback is very important to us. The results will be used for research purposes only and will not affect your treatment, billing, or any future services at this hospital. The survey is anonymous, and medical staff will not see your personal answers.”</w:t>
            </w:r>
          </w:p>
        </w:tc>
        <w:tc>
          <w:tcPr>
            <w:tcW w:w="2841" w:type="dxa"/>
          </w:tcPr>
          <w:p w14:paraId="0F69F445"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lastRenderedPageBreak/>
              <w:t>▶</w:t>
            </w:r>
            <w:r w:rsidRPr="003E6FA8">
              <w:rPr>
                <w:color w:val="000000"/>
                <w:szCs w:val="24"/>
              </w:rPr>
              <w:t xml:space="preserve"> Emphasize anonymity and confidentiality  </w:t>
            </w:r>
          </w:p>
          <w:p w14:paraId="6ECCC2B2"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Clearly state that it will not affect medical rights  </w:t>
            </w:r>
          </w:p>
          <w:p w14:paraId="40561961"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Avoid any suggestive language (e.g. “the special care you received”)</w:t>
            </w:r>
          </w:p>
          <w:p w14:paraId="42187BAD" w14:textId="77777777" w:rsidR="003E6FA8" w:rsidRPr="003E6FA8" w:rsidRDefault="003E6FA8" w:rsidP="003E6FA8">
            <w:pPr>
              <w:spacing w:line="360" w:lineRule="auto"/>
              <w:rPr>
                <w:color w:val="000000"/>
                <w:szCs w:val="24"/>
              </w:rPr>
            </w:pPr>
          </w:p>
        </w:tc>
      </w:tr>
      <w:tr w:rsidR="003E6FA8" w:rsidRPr="003E6FA8" w14:paraId="24283756" w14:textId="77777777" w:rsidTr="00E80C2F">
        <w:tc>
          <w:tcPr>
            <w:tcW w:w="1680" w:type="dxa"/>
          </w:tcPr>
          <w:p w14:paraId="73D17353" w14:textId="77777777" w:rsidR="003E6FA8" w:rsidRPr="003E6FA8" w:rsidRDefault="003E6FA8" w:rsidP="003E6FA8">
            <w:pPr>
              <w:spacing w:line="360" w:lineRule="auto"/>
              <w:jc w:val="left"/>
              <w:rPr>
                <w:color w:val="000000"/>
                <w:szCs w:val="24"/>
              </w:rPr>
            </w:pPr>
            <w:r w:rsidRPr="003E6FA8">
              <w:rPr>
                <w:rFonts w:ascii="宋体" w:hAnsi="宋体" w:cs="宋体" w:hint="eastAsia"/>
                <w:color w:val="000000"/>
                <w:szCs w:val="24"/>
              </w:rPr>
              <w:lastRenderedPageBreak/>
              <w:t>②</w:t>
            </w:r>
            <w:r w:rsidRPr="003E6FA8">
              <w:rPr>
                <w:color w:val="000000"/>
                <w:szCs w:val="24"/>
              </w:rPr>
              <w:t xml:space="preserve"> Transfer and Explanation </w:t>
            </w:r>
          </w:p>
        </w:tc>
        <w:tc>
          <w:tcPr>
            <w:tcW w:w="4001" w:type="dxa"/>
          </w:tcPr>
          <w:p w14:paraId="45423DB9" w14:textId="77777777" w:rsidR="003E6FA8" w:rsidRPr="003E6FA8" w:rsidRDefault="003E6FA8" w:rsidP="003E6FA8">
            <w:pPr>
              <w:spacing w:line="360" w:lineRule="auto"/>
              <w:rPr>
                <w:color w:val="000000"/>
                <w:szCs w:val="24"/>
              </w:rPr>
            </w:pPr>
            <w:r w:rsidRPr="003E6FA8">
              <w:rPr>
                <w:color w:val="000000"/>
                <w:szCs w:val="24"/>
              </w:rPr>
              <w:t>1. Guide the patient to an independent interview room.</w:t>
            </w:r>
          </w:p>
          <w:p w14:paraId="1946C4BE" w14:textId="77777777" w:rsidR="003E6FA8" w:rsidRPr="003E6FA8" w:rsidRDefault="003E6FA8" w:rsidP="003E6FA8">
            <w:pPr>
              <w:spacing w:line="360" w:lineRule="auto"/>
              <w:rPr>
                <w:color w:val="000000"/>
                <w:szCs w:val="24"/>
              </w:rPr>
            </w:pPr>
            <w:r w:rsidRPr="003E6FA8">
              <w:rPr>
                <w:color w:val="000000"/>
                <w:szCs w:val="24"/>
              </w:rPr>
              <w:t>2. Verbally confirm again that the patient understands the confidentiality principle.</w:t>
            </w:r>
          </w:p>
          <w:p w14:paraId="4AF65B07" w14:textId="77777777" w:rsidR="003E6FA8" w:rsidRPr="003E6FA8" w:rsidRDefault="003E6FA8" w:rsidP="003E6FA8">
            <w:pPr>
              <w:spacing w:line="360" w:lineRule="auto"/>
              <w:rPr>
                <w:color w:val="000000"/>
                <w:szCs w:val="24"/>
              </w:rPr>
            </w:pPr>
            <w:r w:rsidRPr="003E6FA8">
              <w:rPr>
                <w:color w:val="000000"/>
                <w:szCs w:val="24"/>
              </w:rPr>
              <w:t>3. Provide standardized written instructions (printed on the front page of the survey): “Please score based on your actual experience during this hospitalization. There are no right or wrong answers, and we will keep everything confidential. Medical staff will not know your responses.”</w:t>
            </w:r>
          </w:p>
        </w:tc>
        <w:tc>
          <w:tcPr>
            <w:tcW w:w="2841" w:type="dxa"/>
          </w:tcPr>
          <w:p w14:paraId="680F099C"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Remove from the nursing environment to reduce social expectation pressure  </w:t>
            </w:r>
          </w:p>
          <w:p w14:paraId="23F09F5C"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Written statement strengthens credibility  </w:t>
            </w:r>
          </w:p>
          <w:p w14:paraId="611E3F4C"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The assistant must explain neutrally and not lead the answers</w:t>
            </w:r>
          </w:p>
          <w:p w14:paraId="606F2D42" w14:textId="77777777" w:rsidR="003E6FA8" w:rsidRPr="003E6FA8" w:rsidRDefault="003E6FA8" w:rsidP="003E6FA8">
            <w:pPr>
              <w:spacing w:line="360" w:lineRule="auto"/>
              <w:rPr>
                <w:color w:val="000000"/>
                <w:szCs w:val="24"/>
              </w:rPr>
            </w:pPr>
          </w:p>
        </w:tc>
      </w:tr>
      <w:tr w:rsidR="003E6FA8" w:rsidRPr="003E6FA8" w14:paraId="0E99370F" w14:textId="77777777" w:rsidTr="00E80C2F">
        <w:tc>
          <w:tcPr>
            <w:tcW w:w="1680" w:type="dxa"/>
          </w:tcPr>
          <w:p w14:paraId="35DFA979" w14:textId="77777777" w:rsidR="003E6FA8" w:rsidRPr="003E6FA8" w:rsidRDefault="003E6FA8" w:rsidP="003E6FA8">
            <w:pPr>
              <w:spacing w:line="360" w:lineRule="auto"/>
              <w:rPr>
                <w:color w:val="000000"/>
                <w:szCs w:val="24"/>
              </w:rPr>
            </w:pPr>
            <w:r w:rsidRPr="003E6FA8">
              <w:rPr>
                <w:rFonts w:ascii="宋体" w:hAnsi="宋体" w:cs="宋体" w:hint="eastAsia"/>
                <w:color w:val="000000"/>
                <w:szCs w:val="24"/>
              </w:rPr>
              <w:t>③</w:t>
            </w:r>
            <w:r w:rsidRPr="003E6FA8">
              <w:rPr>
                <w:color w:val="000000"/>
                <w:szCs w:val="24"/>
              </w:rPr>
              <w:t xml:space="preserve"> Independent Filling</w:t>
            </w:r>
          </w:p>
        </w:tc>
        <w:tc>
          <w:tcPr>
            <w:tcW w:w="4001" w:type="dxa"/>
          </w:tcPr>
          <w:p w14:paraId="60754885" w14:textId="77777777" w:rsidR="003E6FA8" w:rsidRPr="003E6FA8" w:rsidRDefault="003E6FA8" w:rsidP="003E6FA8">
            <w:pPr>
              <w:spacing w:line="360" w:lineRule="auto"/>
              <w:rPr>
                <w:color w:val="000000"/>
                <w:szCs w:val="24"/>
              </w:rPr>
            </w:pPr>
            <w:r w:rsidRPr="003E6FA8">
              <w:rPr>
                <w:color w:val="000000"/>
                <w:szCs w:val="24"/>
              </w:rPr>
              <w:t xml:space="preserve">1. Provide a paper questionnaire and pen.  </w:t>
            </w:r>
          </w:p>
          <w:p w14:paraId="0E6BEDB0" w14:textId="77777777" w:rsidR="003E6FA8" w:rsidRPr="003E6FA8" w:rsidRDefault="003E6FA8" w:rsidP="003E6FA8">
            <w:pPr>
              <w:spacing w:line="360" w:lineRule="auto"/>
              <w:rPr>
                <w:color w:val="000000"/>
                <w:szCs w:val="24"/>
              </w:rPr>
            </w:pPr>
            <w:r w:rsidRPr="003E6FA8">
              <w:rPr>
                <w:color w:val="000000"/>
                <w:szCs w:val="24"/>
              </w:rPr>
              <w:t>2. The research assistant steps back at least 2 meters and does not observe the answering process.</w:t>
            </w:r>
          </w:p>
          <w:p w14:paraId="5D8A2478" w14:textId="77777777" w:rsidR="003E6FA8" w:rsidRPr="003E6FA8" w:rsidRDefault="003E6FA8" w:rsidP="003E6FA8">
            <w:pPr>
              <w:spacing w:line="360" w:lineRule="auto"/>
              <w:rPr>
                <w:color w:val="000000"/>
                <w:szCs w:val="24"/>
              </w:rPr>
            </w:pPr>
            <w:r w:rsidRPr="003E6FA8">
              <w:rPr>
                <w:color w:val="000000"/>
                <w:szCs w:val="24"/>
              </w:rPr>
              <w:t>3. If the patient has difficulty reading or writing, the assistant may read the question and options aloud, but the patient must select their own answers (assistant to write down and double-check).</w:t>
            </w:r>
          </w:p>
        </w:tc>
        <w:tc>
          <w:tcPr>
            <w:tcW w:w="2841" w:type="dxa"/>
          </w:tcPr>
          <w:p w14:paraId="17A5FDE4"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Ensure the patient fills it out independently  </w:t>
            </w:r>
          </w:p>
          <w:p w14:paraId="5609D5B0"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Avoid any interference from the assistant (including body language)  </w:t>
            </w:r>
          </w:p>
          <w:p w14:paraId="5257B42D"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When filling in on behalf of the patient, strictly follow the patient's instructions  </w:t>
            </w:r>
          </w:p>
          <w:p w14:paraId="09A80A21" w14:textId="77777777" w:rsidR="003E6FA8" w:rsidRPr="003E6FA8" w:rsidRDefault="003E6FA8" w:rsidP="003E6FA8">
            <w:pPr>
              <w:spacing w:line="360" w:lineRule="auto"/>
              <w:rPr>
                <w:color w:val="000000"/>
                <w:szCs w:val="24"/>
              </w:rPr>
            </w:pPr>
          </w:p>
        </w:tc>
      </w:tr>
      <w:tr w:rsidR="003E6FA8" w:rsidRPr="003E6FA8" w14:paraId="4EB9F5AA" w14:textId="77777777" w:rsidTr="00E80C2F">
        <w:tc>
          <w:tcPr>
            <w:tcW w:w="1680" w:type="dxa"/>
          </w:tcPr>
          <w:p w14:paraId="26E1EE3A" w14:textId="77777777" w:rsidR="003E6FA8" w:rsidRPr="003E6FA8" w:rsidRDefault="003E6FA8" w:rsidP="003E6FA8">
            <w:pPr>
              <w:spacing w:line="360" w:lineRule="auto"/>
              <w:rPr>
                <w:color w:val="000000"/>
                <w:szCs w:val="24"/>
              </w:rPr>
            </w:pPr>
            <w:r w:rsidRPr="003E6FA8">
              <w:rPr>
                <w:rFonts w:ascii="宋体" w:hAnsi="宋体" w:cs="宋体" w:hint="eastAsia"/>
                <w:color w:val="000000"/>
                <w:szCs w:val="24"/>
              </w:rPr>
              <w:t>④</w:t>
            </w:r>
            <w:r w:rsidRPr="003E6FA8">
              <w:rPr>
                <w:color w:val="000000"/>
                <w:szCs w:val="24"/>
              </w:rPr>
              <w:t xml:space="preserve"> Seal and Collect on the Spot</w:t>
            </w:r>
          </w:p>
          <w:p w14:paraId="447CEE41" w14:textId="77777777" w:rsidR="003E6FA8" w:rsidRPr="003E6FA8" w:rsidRDefault="003E6FA8" w:rsidP="003E6FA8">
            <w:pPr>
              <w:spacing w:line="360" w:lineRule="auto"/>
              <w:rPr>
                <w:color w:val="000000"/>
                <w:szCs w:val="24"/>
              </w:rPr>
            </w:pPr>
          </w:p>
        </w:tc>
        <w:tc>
          <w:tcPr>
            <w:tcW w:w="4001" w:type="dxa"/>
          </w:tcPr>
          <w:p w14:paraId="07CCFC86" w14:textId="77777777" w:rsidR="003E6FA8" w:rsidRPr="003E6FA8" w:rsidRDefault="003E6FA8" w:rsidP="003E6FA8">
            <w:pPr>
              <w:spacing w:line="360" w:lineRule="auto"/>
              <w:rPr>
                <w:color w:val="000000"/>
                <w:szCs w:val="24"/>
              </w:rPr>
            </w:pPr>
            <w:r w:rsidRPr="003E6FA8">
              <w:rPr>
                <w:color w:val="000000"/>
                <w:szCs w:val="24"/>
              </w:rPr>
              <w:t>1. After completion, the patient places the survey into an opaque envelope.</w:t>
            </w:r>
          </w:p>
          <w:p w14:paraId="5E004A0A" w14:textId="77777777" w:rsidR="003E6FA8" w:rsidRPr="003E6FA8" w:rsidRDefault="003E6FA8" w:rsidP="003E6FA8">
            <w:pPr>
              <w:spacing w:line="360" w:lineRule="auto"/>
              <w:rPr>
                <w:color w:val="000000"/>
                <w:szCs w:val="24"/>
              </w:rPr>
            </w:pPr>
            <w:r w:rsidRPr="003E6FA8">
              <w:rPr>
                <w:color w:val="000000"/>
                <w:szCs w:val="24"/>
              </w:rPr>
              <w:t>2. The patient personally seals the envelope and places it in a dedicated locked collection box.</w:t>
            </w:r>
          </w:p>
          <w:p w14:paraId="4C2545A9" w14:textId="77777777" w:rsidR="003E6FA8" w:rsidRPr="003E6FA8" w:rsidRDefault="003E6FA8" w:rsidP="003E6FA8">
            <w:pPr>
              <w:spacing w:line="360" w:lineRule="auto"/>
              <w:rPr>
                <w:color w:val="000000"/>
                <w:szCs w:val="24"/>
              </w:rPr>
            </w:pPr>
            <w:r w:rsidRPr="003E6FA8">
              <w:rPr>
                <w:color w:val="000000"/>
                <w:szCs w:val="24"/>
              </w:rPr>
              <w:t>3. The collection box is opened and transported daily by the research leader (not the assistant).</w:t>
            </w:r>
          </w:p>
        </w:tc>
        <w:tc>
          <w:tcPr>
            <w:tcW w:w="2841" w:type="dxa"/>
          </w:tcPr>
          <w:p w14:paraId="4CEE510A"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Physical separation to prevent leaks  </w:t>
            </w:r>
          </w:p>
          <w:p w14:paraId="6DA7D501"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Patient participation in sealing increases trust  </w:t>
            </w:r>
          </w:p>
          <w:p w14:paraId="5AA3888A"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Separation of responsibility for collection</w:t>
            </w:r>
          </w:p>
        </w:tc>
      </w:tr>
      <w:tr w:rsidR="003E6FA8" w:rsidRPr="003E6FA8" w14:paraId="05508BA6" w14:textId="77777777" w:rsidTr="00E80C2F">
        <w:tc>
          <w:tcPr>
            <w:tcW w:w="1680" w:type="dxa"/>
          </w:tcPr>
          <w:p w14:paraId="4F126B4D" w14:textId="77777777" w:rsidR="003E6FA8" w:rsidRPr="003E6FA8" w:rsidRDefault="003E6FA8" w:rsidP="003E6FA8">
            <w:pPr>
              <w:spacing w:line="360" w:lineRule="auto"/>
              <w:rPr>
                <w:color w:val="000000"/>
                <w:szCs w:val="24"/>
              </w:rPr>
            </w:pPr>
            <w:r w:rsidRPr="003E6FA8">
              <w:rPr>
                <w:rFonts w:ascii="宋体" w:hAnsi="宋体" w:cs="宋体" w:hint="eastAsia"/>
                <w:color w:val="000000"/>
                <w:szCs w:val="24"/>
              </w:rPr>
              <w:t>⑤</w:t>
            </w:r>
            <w:r w:rsidRPr="003E6FA8">
              <w:rPr>
                <w:color w:val="000000"/>
                <w:szCs w:val="24"/>
              </w:rPr>
              <w:t xml:space="preserve"> Data Entry </w:t>
            </w:r>
          </w:p>
          <w:p w14:paraId="10AB3C12" w14:textId="77777777" w:rsidR="003E6FA8" w:rsidRPr="003E6FA8" w:rsidRDefault="003E6FA8" w:rsidP="003E6FA8">
            <w:pPr>
              <w:spacing w:line="360" w:lineRule="auto"/>
              <w:rPr>
                <w:color w:val="000000"/>
                <w:szCs w:val="24"/>
              </w:rPr>
            </w:pPr>
          </w:p>
        </w:tc>
        <w:tc>
          <w:tcPr>
            <w:tcW w:w="4001" w:type="dxa"/>
          </w:tcPr>
          <w:p w14:paraId="142C42E0" w14:textId="77777777" w:rsidR="003E6FA8" w:rsidRPr="003E6FA8" w:rsidRDefault="003E6FA8" w:rsidP="003E6FA8">
            <w:pPr>
              <w:spacing w:line="360" w:lineRule="auto"/>
              <w:rPr>
                <w:color w:val="000000"/>
                <w:szCs w:val="24"/>
              </w:rPr>
            </w:pPr>
            <w:r w:rsidRPr="003E6FA8">
              <w:rPr>
                <w:color w:val="000000"/>
                <w:szCs w:val="24"/>
              </w:rPr>
              <w:t xml:space="preserve">1. A dedicated person (not the assistant) opens the envelope, matches the paper questionnaire number with the electronic entry number randomly.  </w:t>
            </w:r>
          </w:p>
          <w:p w14:paraId="010E5808" w14:textId="77777777" w:rsidR="003E6FA8" w:rsidRPr="003E6FA8" w:rsidRDefault="003E6FA8" w:rsidP="003E6FA8">
            <w:pPr>
              <w:spacing w:line="360" w:lineRule="auto"/>
              <w:rPr>
                <w:color w:val="000000"/>
                <w:szCs w:val="24"/>
              </w:rPr>
            </w:pPr>
            <w:r w:rsidRPr="003E6FA8">
              <w:rPr>
                <w:color w:val="000000"/>
                <w:szCs w:val="24"/>
              </w:rPr>
              <w:t>2. Two people independently enter the data and check for consistency.</w:t>
            </w:r>
          </w:p>
          <w:p w14:paraId="1E53D76B" w14:textId="77777777" w:rsidR="003E6FA8" w:rsidRPr="003E6FA8" w:rsidRDefault="003E6FA8" w:rsidP="003E6FA8">
            <w:pPr>
              <w:spacing w:line="360" w:lineRule="auto"/>
              <w:rPr>
                <w:color w:val="000000"/>
                <w:szCs w:val="24"/>
              </w:rPr>
            </w:pPr>
            <w:r w:rsidRPr="003E6FA8">
              <w:rPr>
                <w:color w:val="000000"/>
                <w:szCs w:val="24"/>
              </w:rPr>
              <w:t>3. The original paper questionnaires are archived for future reference.</w:t>
            </w:r>
          </w:p>
        </w:tc>
        <w:tc>
          <w:tcPr>
            <w:tcW w:w="2841" w:type="dxa"/>
          </w:tcPr>
          <w:p w14:paraId="117BD34E"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Disconnect the questionnaire from the patient’s identity</w:t>
            </w:r>
          </w:p>
          <w:p w14:paraId="5666157D" w14:textId="77777777" w:rsidR="003E6FA8" w:rsidRPr="003E6FA8" w:rsidRDefault="003E6FA8" w:rsidP="003E6FA8">
            <w:pPr>
              <w:spacing w:line="360" w:lineRule="auto"/>
              <w:rPr>
                <w:color w:val="000000"/>
                <w:szCs w:val="24"/>
              </w:rPr>
            </w:pPr>
            <w:r w:rsidRPr="003E6FA8">
              <w:rPr>
                <w:rFonts w:ascii="Cambria Math" w:hAnsi="Cambria Math" w:cs="Cambria Math"/>
                <w:color w:val="000000"/>
                <w:szCs w:val="24"/>
              </w:rPr>
              <w:t>▶</w:t>
            </w:r>
            <w:r w:rsidRPr="003E6FA8">
              <w:rPr>
                <w:color w:val="000000"/>
                <w:szCs w:val="24"/>
              </w:rPr>
              <w:t xml:space="preserve"> Prevent data entry manipulation</w:t>
            </w:r>
          </w:p>
          <w:p w14:paraId="25533CCF" w14:textId="77777777" w:rsidR="003E6FA8" w:rsidRPr="003E6FA8" w:rsidRDefault="003E6FA8" w:rsidP="003E6FA8">
            <w:pPr>
              <w:spacing w:line="360" w:lineRule="auto"/>
              <w:rPr>
                <w:b/>
                <w:bCs/>
                <w:color w:val="000000"/>
                <w:szCs w:val="24"/>
              </w:rPr>
            </w:pPr>
          </w:p>
        </w:tc>
      </w:tr>
    </w:tbl>
    <w:p w14:paraId="4276FF54" w14:textId="77777777" w:rsidR="0093494A" w:rsidRDefault="0093494A"/>
    <w:sectPr w:rsidR="00934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7B"/>
    <w:rsid w:val="001A69E9"/>
    <w:rsid w:val="002D057B"/>
    <w:rsid w:val="003E6FA8"/>
    <w:rsid w:val="0093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04E7"/>
  <w15:chartTrackingRefBased/>
  <w15:docId w15:val="{A4C49491-F928-4591-AB83-58DAAB77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E6FA8"/>
    <w:pPr>
      <w:widowControl w:val="0"/>
      <w:jc w:val="both"/>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rsid w:val="001A69E9"/>
    <w:pPr>
      <w:jc w:val="left"/>
    </w:pPr>
    <w:rPr>
      <w:rFonts w:ascii="Calibri" w:eastAsia="宋体" w:hAnsi="Calibri" w:cs="Times New Roman"/>
      <w:szCs w:val="24"/>
    </w:rPr>
  </w:style>
  <w:style w:type="character" w:customStyle="1" w:styleId="a5">
    <w:name w:val="批注文字 字符"/>
    <w:basedOn w:val="a0"/>
    <w:link w:val="a4"/>
    <w:uiPriority w:val="99"/>
    <w:semiHidden/>
    <w:rsid w:val="001A69E9"/>
    <w:rPr>
      <w:rFonts w:ascii="Calibri" w:eastAsia="宋体" w:hAnsi="Calibri" w:cs="Times New Roman"/>
      <w:szCs w:val="24"/>
    </w:rPr>
  </w:style>
  <w:style w:type="character" w:styleId="a6">
    <w:name w:val="annotation reference"/>
    <w:basedOn w:val="a0"/>
    <w:uiPriority w:val="99"/>
    <w:semiHidden/>
    <w:rsid w:val="001A69E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3571</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Rossi</dc:creator>
  <cp:keywords/>
  <dc:description/>
  <cp:lastModifiedBy>Valentina Rossi</cp:lastModifiedBy>
  <cp:revision>3</cp:revision>
  <dcterms:created xsi:type="dcterms:W3CDTF">2025-07-08T09:08:00Z</dcterms:created>
  <dcterms:modified xsi:type="dcterms:W3CDTF">2025-08-08T06:25:00Z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e3f95c57-755c-4d3d-a846-4d278212b8e6</vt:lpwstr>
  </property>
</Properties>
</file>